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5D3C" w14:textId="0F17E4C8" w:rsidR="00011597" w:rsidRDefault="00BB1DB8">
      <w:pPr>
        <w:pStyle w:val="Heading1"/>
      </w:pPr>
      <w:r>
        <w:t>Template PCC Donations Acceptance Policy (Draft)</w:t>
      </w:r>
    </w:p>
    <w:p w14:paraId="089289B6" w14:textId="06260577" w:rsidR="00011597" w:rsidRDefault="007F3C55">
      <w:r>
        <w:t>Date</w:t>
      </w:r>
      <w:r w:rsidR="00C11503">
        <w:t xml:space="preserve"> Approved</w:t>
      </w:r>
      <w:r>
        <w:t>: [Insert Date]</w:t>
      </w:r>
    </w:p>
    <w:p w14:paraId="78B9C675" w14:textId="75E3E98D" w:rsidR="00011597" w:rsidRDefault="007F3C55">
      <w:r>
        <w:t xml:space="preserve">Approved By: </w:t>
      </w:r>
      <w:r w:rsidR="00C11503">
        <w:t>the PCC of [insert Church name]</w:t>
      </w:r>
    </w:p>
    <w:p w14:paraId="09FF7151" w14:textId="0FDEFC69" w:rsidR="00011597" w:rsidRDefault="007F3C55">
      <w:r>
        <w:t>Review Date: [Insert Date]</w:t>
      </w:r>
    </w:p>
    <w:p w14:paraId="7F7C6539" w14:textId="38862C38" w:rsidR="00270E32" w:rsidRDefault="00270E32">
      <w:r>
        <w:t>CONTENTS</w:t>
      </w:r>
    </w:p>
    <w:p w14:paraId="27AAD8D0" w14:textId="77777777" w:rsidR="00011597" w:rsidRDefault="007F3C55">
      <w:pPr>
        <w:pStyle w:val="Heading2"/>
      </w:pPr>
      <w:r>
        <w:t>1. Purpose</w:t>
      </w:r>
    </w:p>
    <w:p w14:paraId="604C79BA" w14:textId="7E631CA7" w:rsidR="00011597" w:rsidRDefault="007F3C55" w:rsidP="45B3ECE8">
      <w:bookmarkStart w:id="0" w:name="_Hlk204936746"/>
      <w:r>
        <w:t xml:space="preserve">This policy outlines the principles and procedures </w:t>
      </w:r>
      <w:r w:rsidR="00C11503">
        <w:t>under</w:t>
      </w:r>
      <w:r w:rsidR="00270E32">
        <w:t xml:space="preserve"> </w:t>
      </w:r>
      <w:r w:rsidR="00C11503">
        <w:t xml:space="preserve">which the PCC of [x] would </w:t>
      </w:r>
      <w:r>
        <w:t>accept, refus</w:t>
      </w:r>
      <w:r w:rsidR="00C11503">
        <w:t>e</w:t>
      </w:r>
      <w:r>
        <w:t xml:space="preserve">, and return donations to ensure compliance with </w:t>
      </w:r>
      <w:r w:rsidR="32B58C01">
        <w:t xml:space="preserve">Charity Commission guidance and law </w:t>
      </w:r>
      <w:hyperlink r:id="rId11" w:anchor="donations-you-must-refuse-or-return">
        <w:r w:rsidR="32B58C01" w:rsidRPr="45B3ECE8">
          <w:rPr>
            <w:rStyle w:val="Hyperlink"/>
            <w:rFonts w:ascii="Segoe UI" w:eastAsia="Segoe UI" w:hAnsi="Segoe UI" w:cs="Segoe UI"/>
            <w:color w:val="0000EE"/>
            <w:sz w:val="18"/>
            <w:szCs w:val="18"/>
          </w:rPr>
          <w:t>Accepting, refusing and returning donations to your charity - GOV.UK</w:t>
        </w:r>
      </w:hyperlink>
      <w:r w:rsidR="32B58C01" w:rsidRPr="45B3ECE8">
        <w:rPr>
          <w:rFonts w:ascii="Segoe UI" w:eastAsia="Segoe UI" w:hAnsi="Segoe UI" w:cs="Segoe UI"/>
          <w:color w:val="333333"/>
          <w:sz w:val="18"/>
          <w:szCs w:val="18"/>
        </w:rPr>
        <w:t xml:space="preserve"> </w:t>
      </w:r>
      <w:r w:rsidR="00C11503">
        <w:t>(effective 1 November 2025)</w:t>
      </w:r>
      <w:r>
        <w:t xml:space="preserve"> and to uphold the integrity and mission of the church.</w:t>
      </w:r>
    </w:p>
    <w:bookmarkEnd w:id="0"/>
    <w:p w14:paraId="70E6D06D" w14:textId="77777777" w:rsidR="00011597" w:rsidRDefault="007F3C55">
      <w:pPr>
        <w:pStyle w:val="Heading2"/>
      </w:pPr>
      <w:r>
        <w:t>2. Scope</w:t>
      </w:r>
    </w:p>
    <w:p w14:paraId="61D6C91A" w14:textId="451941D0" w:rsidR="00011597" w:rsidRDefault="007F3C55">
      <w:r>
        <w:t xml:space="preserve">This policy applies to </w:t>
      </w:r>
      <w:bookmarkStart w:id="1" w:name="_Hlk204952279"/>
      <w:r>
        <w:t xml:space="preserve">all </w:t>
      </w:r>
      <w:r w:rsidR="46BC4A07">
        <w:t>PCC members</w:t>
      </w:r>
      <w:r>
        <w:t>, staff, volunteers, and fundraising partners involved in soliciting or receiving donations on behalf of the church.</w:t>
      </w:r>
      <w:r w:rsidR="00270E32">
        <w:t xml:space="preserve"> </w:t>
      </w:r>
      <w:bookmarkEnd w:id="1"/>
    </w:p>
    <w:p w14:paraId="13E59033" w14:textId="1E7C540A" w:rsidR="00270E32" w:rsidRDefault="005E30B0">
      <w:r>
        <w:t xml:space="preserve">Day-to-day decision making and donations handling will lie with </w:t>
      </w:r>
      <w:r w:rsidR="00FF1461">
        <w:t xml:space="preserve">the [Treasurer/Gift Aid Secretary/Other]. Decisions about accepting donations, the need to carry out due diligence or other concerns about accepting or refusing a donation will be first escalated to the [Executive Committee/Finance Committee/Vicar and Church Wardens] before being escalated to the full PCC for decision. </w:t>
      </w:r>
    </w:p>
    <w:p w14:paraId="07EDCCAE" w14:textId="77777777" w:rsidR="00011597" w:rsidRDefault="007F3C55">
      <w:pPr>
        <w:pStyle w:val="Heading2"/>
      </w:pPr>
      <w:r>
        <w:t>3. Principles for Accepting Donations</w:t>
      </w:r>
    </w:p>
    <w:p w14:paraId="48D1E7B5" w14:textId="77777777" w:rsidR="00011597" w:rsidRDefault="007F3C55">
      <w:r>
        <w:t>The church will accept donations that:</w:t>
      </w:r>
    </w:p>
    <w:p w14:paraId="37B2E2F2" w14:textId="70533465" w:rsidR="00011597" w:rsidRDefault="007F3C55">
      <w:pPr>
        <w:pStyle w:val="ListBullet"/>
      </w:pPr>
      <w:r>
        <w:t>Are given freely without conditions that conflict with the church’s mission or values.</w:t>
      </w:r>
    </w:p>
    <w:p w14:paraId="64B92FBC" w14:textId="09EC6ACF" w:rsidR="00011597" w:rsidRDefault="007F3C55">
      <w:pPr>
        <w:pStyle w:val="ListBullet"/>
      </w:pPr>
      <w:r>
        <w:t>Are legal and do not originate from unethical or criminal sources.</w:t>
      </w:r>
    </w:p>
    <w:p w14:paraId="2F6926A0" w14:textId="603D0769" w:rsidR="00011597" w:rsidRDefault="007F3C55">
      <w:pPr>
        <w:pStyle w:val="ListBullet"/>
      </w:pPr>
      <w:r>
        <w:t>Do not compromise the church’s independence or reputation.</w:t>
      </w:r>
    </w:p>
    <w:p w14:paraId="6FFB8E1B" w14:textId="2EC7716B" w:rsidR="00011597" w:rsidRDefault="4498145F">
      <w:r>
        <w:t>PCC members</w:t>
      </w:r>
      <w:r w:rsidR="007F3C55">
        <w:t xml:space="preserve"> must ensure:</w:t>
      </w:r>
    </w:p>
    <w:p w14:paraId="208794AD" w14:textId="029FFC8C" w:rsidR="00011597" w:rsidRDefault="007F3C55">
      <w:pPr>
        <w:pStyle w:val="ListBullet"/>
      </w:pPr>
      <w:r>
        <w:t>Donors are informed about how their donations will be used.</w:t>
      </w:r>
    </w:p>
    <w:p w14:paraId="0C5F75DC" w14:textId="2499A086" w:rsidR="00011597" w:rsidRDefault="007F3C55">
      <w:pPr>
        <w:pStyle w:val="ListBullet"/>
      </w:pPr>
      <w:r>
        <w:t>Donations are processed securely and transparently.</w:t>
      </w:r>
    </w:p>
    <w:p w14:paraId="45393790" w14:textId="6057FF6D" w:rsidR="00011597" w:rsidRDefault="007F3C55">
      <w:pPr>
        <w:pStyle w:val="ListBullet"/>
      </w:pPr>
      <w:r>
        <w:t>Records of donations are maintained in accordance with data protection laws.</w:t>
      </w:r>
    </w:p>
    <w:p w14:paraId="3F156375" w14:textId="77777777" w:rsidR="00011597" w:rsidRDefault="007F3C55">
      <w:pPr>
        <w:pStyle w:val="Heading2"/>
      </w:pPr>
      <w:r>
        <w:t>4. Refusing or Returning Donations</w:t>
      </w:r>
    </w:p>
    <w:p w14:paraId="329558AB" w14:textId="77777777" w:rsidR="00011597" w:rsidRDefault="007F3C55">
      <w:r>
        <w:t>Donations may be refused or returned if:</w:t>
      </w:r>
    </w:p>
    <w:p w14:paraId="267777CE" w14:textId="6ABA2C7A" w:rsidR="00011597" w:rsidRDefault="007F3C55">
      <w:pPr>
        <w:pStyle w:val="ListBullet"/>
      </w:pPr>
      <w:r>
        <w:t xml:space="preserve">The source or conditions of the donation </w:t>
      </w:r>
      <w:r w:rsidR="00C11503">
        <w:t xml:space="preserve">are illegal or </w:t>
      </w:r>
      <w:r>
        <w:t>conflict with the church’s values or legal obligations.</w:t>
      </w:r>
    </w:p>
    <w:p w14:paraId="503BF1F3" w14:textId="1EB05A0F" w:rsidR="00011597" w:rsidRDefault="007F3C55">
      <w:pPr>
        <w:pStyle w:val="ListBullet"/>
      </w:pPr>
      <w:r>
        <w:t>The donation could damage the church’s reputation or public trust.</w:t>
      </w:r>
    </w:p>
    <w:p w14:paraId="6C49BAA0" w14:textId="5A167762" w:rsidR="002F71CA" w:rsidRDefault="007F3C55">
      <w:pPr>
        <w:pStyle w:val="ListBullet"/>
      </w:pPr>
      <w:r>
        <w:lastRenderedPageBreak/>
        <w:t>The donor lacks capacity or was unduly pressured to give</w:t>
      </w:r>
      <w:r w:rsidR="002F71CA">
        <w:t>.</w:t>
      </w:r>
    </w:p>
    <w:p w14:paraId="7D173B8A" w14:textId="2AEED680" w:rsidR="002F71CA" w:rsidRDefault="002F71CA">
      <w:pPr>
        <w:pStyle w:val="ListBullet"/>
      </w:pPr>
      <w:r>
        <w:t>The donation would place an unacceptable burden on the donor.</w:t>
      </w:r>
    </w:p>
    <w:p w14:paraId="26BDE87F" w14:textId="3CB72BC2" w:rsidR="00011597" w:rsidRDefault="002F71CA">
      <w:pPr>
        <w:pStyle w:val="ListBullet"/>
      </w:pPr>
      <w:r>
        <w:t>The donation would confer a benefit on the donor</w:t>
      </w:r>
      <w:r w:rsidR="007F3C55">
        <w:t>.</w:t>
      </w:r>
    </w:p>
    <w:p w14:paraId="1B3AF3B7" w14:textId="77777777" w:rsidR="00BA0FE0" w:rsidRDefault="00BA0FE0" w:rsidP="00BA0FE0">
      <w:pPr>
        <w:pStyle w:val="ListBullet"/>
        <w:numPr>
          <w:ilvl w:val="0"/>
          <w:numId w:val="0"/>
        </w:numPr>
        <w:ind w:left="360" w:hanging="360"/>
      </w:pPr>
    </w:p>
    <w:p w14:paraId="24A0AD8D" w14:textId="76776B57" w:rsidR="00BA0FE0" w:rsidRDefault="00BA0FE0" w:rsidP="00BA0FE0">
      <w:pPr>
        <w:pStyle w:val="ListBullet"/>
        <w:numPr>
          <w:ilvl w:val="0"/>
          <w:numId w:val="0"/>
        </w:numPr>
      </w:pPr>
      <w:r>
        <w:t xml:space="preserve">Donations may also be returned if a fundraising appeal for a specific purpose does not raise sufficient funds or it raises too much money. Our wording for appeals will always say clearly what will happen to any surplus funds or if </w:t>
      </w:r>
      <w:proofErr w:type="gramStart"/>
      <w:r>
        <w:t>not</w:t>
      </w:r>
      <w:proofErr w:type="gramEnd"/>
      <w:r>
        <w:t xml:space="preserve"> enough funds are raised.</w:t>
      </w:r>
    </w:p>
    <w:p w14:paraId="5E8D1538" w14:textId="70E718BA" w:rsidR="00011597" w:rsidRDefault="4248EBAA">
      <w:r>
        <w:t>PCC members</w:t>
      </w:r>
      <w:r w:rsidR="007F3C55">
        <w:t xml:space="preserve"> must document the rationale for refusing or returning a donation, following the </w:t>
      </w:r>
      <w:hyperlink r:id="rId12">
        <w:r w:rsidR="007F3C55" w:rsidRPr="45B3ECE8">
          <w:rPr>
            <w:rStyle w:val="Hyperlink"/>
          </w:rPr>
          <w:t>guidance on documenting fundraising decisions.</w:t>
        </w:r>
      </w:hyperlink>
    </w:p>
    <w:p w14:paraId="41AE2B71" w14:textId="49BBD14D" w:rsidR="00BA0FE0" w:rsidRDefault="00BA0FE0">
      <w:r>
        <w:t>It will be the responsibility of [</w:t>
      </w:r>
      <w:r w:rsidR="00A13E2A" w:rsidRPr="45B3ECE8">
        <w:rPr>
          <w:i/>
          <w:iCs/>
        </w:rPr>
        <w:t>insert named role here</w:t>
      </w:r>
      <w:r>
        <w:t>] to communicate with the donor</w:t>
      </w:r>
      <w:r w:rsidR="68DE60A9">
        <w:t xml:space="preserve"> where appropriate,</w:t>
      </w:r>
      <w:r>
        <w:t xml:space="preserve"> regarding the donation acceptance policy and the final decision of the PCC to refuse or return a donation. </w:t>
      </w:r>
    </w:p>
    <w:p w14:paraId="6573F150" w14:textId="77777777" w:rsidR="00011597" w:rsidRDefault="007F3C55">
      <w:pPr>
        <w:pStyle w:val="Heading2"/>
      </w:pPr>
      <w:r>
        <w:t>5. Due Diligence</w:t>
      </w:r>
    </w:p>
    <w:p w14:paraId="196702B2" w14:textId="77777777" w:rsidR="00F779F1" w:rsidRDefault="00C11503" w:rsidP="00C11503">
      <w:hyperlink r:id="rId13">
        <w:r w:rsidRPr="45B3ECE8">
          <w:rPr>
            <w:rStyle w:val="Hyperlink"/>
          </w:rPr>
          <w:t>Due diligence</w:t>
        </w:r>
      </w:hyperlink>
      <w:r>
        <w:t xml:space="preserve"> involves carrying out proper checks to help </w:t>
      </w:r>
      <w:r w:rsidR="003E463D">
        <w:t>the PCC</w:t>
      </w:r>
      <w:r>
        <w:t xml:space="preserve"> confirm the identity and verify the legitimacy and suitability of donations, donors and others </w:t>
      </w:r>
      <w:r w:rsidR="003E463D">
        <w:t xml:space="preserve">it </w:t>
      </w:r>
      <w:r>
        <w:t>work</w:t>
      </w:r>
      <w:r w:rsidR="003E463D">
        <w:t>s</w:t>
      </w:r>
      <w:r>
        <w:t xml:space="preserve"> with.</w:t>
      </w:r>
      <w:r w:rsidR="003E463D">
        <w:t xml:space="preserve"> </w:t>
      </w:r>
      <w:bookmarkStart w:id="2" w:name="_Hlk204954546"/>
      <w:r w:rsidR="003E463D">
        <w:t xml:space="preserve">The PCC must be assured that donations it is offered or receive do not come from inappropriate or illegal sources, are not subject to restrictions, prohibitions or sanctions, and will not bring the church into disrepute.  </w:t>
      </w:r>
      <w:bookmarkEnd w:id="2"/>
    </w:p>
    <w:p w14:paraId="40C3D107" w14:textId="710CAB03" w:rsidR="00C11503" w:rsidRPr="00C11503" w:rsidRDefault="00F779F1" w:rsidP="00C11503">
      <w:r>
        <w:t xml:space="preserve">Due diligence checks will be </w:t>
      </w:r>
      <w:r w:rsidR="00CC0BFB">
        <w:t xml:space="preserve">appropriate, reasonable and proportionate, with a commonsense approach taken. </w:t>
      </w:r>
      <w:r w:rsidR="00F71811">
        <w:t>Due diligence checks into</w:t>
      </w:r>
      <w:r>
        <w:t xml:space="preserve"> existing regular donors,</w:t>
      </w:r>
      <w:r w:rsidR="00F71811">
        <w:t xml:space="preserve"> small cash donors</w:t>
      </w:r>
      <w:r w:rsidR="7275E401">
        <w:t>, donors known to the PCC</w:t>
      </w:r>
      <w:r w:rsidR="00F71811">
        <w:t xml:space="preserve"> and </w:t>
      </w:r>
      <w:r w:rsidR="0C240449">
        <w:t xml:space="preserve">other regular </w:t>
      </w:r>
      <w:r>
        <w:t xml:space="preserve">and expected </w:t>
      </w:r>
      <w:r w:rsidR="00F71811">
        <w:t>donations will not normally be necessary unless there are other risk factors present</w:t>
      </w:r>
      <w:r w:rsidR="6B02811D">
        <w:t>, for example if the donations are coming from someone who might be considered vulnerable, or whose well being might be in jeopardy as a result of making these donations</w:t>
      </w:r>
      <w:r w:rsidR="7F9D27E8">
        <w:t>, or where there are suspicious circumstances</w:t>
      </w:r>
      <w:r w:rsidR="6B02811D">
        <w:t>. See the section on Safeguarding below.</w:t>
      </w:r>
    </w:p>
    <w:p w14:paraId="2BFD8073" w14:textId="1A1211D7" w:rsidR="00011597" w:rsidRDefault="7B3B6AA3">
      <w:r>
        <w:t>PCC members</w:t>
      </w:r>
      <w:r w:rsidR="007F3C55">
        <w:t xml:space="preserve"> </w:t>
      </w:r>
      <w:r w:rsidR="003E463D">
        <w:t xml:space="preserve">will </w:t>
      </w:r>
      <w:r w:rsidR="007F3C55">
        <w:t>carry out appropriate</w:t>
      </w:r>
      <w:r w:rsidR="003E463D">
        <w:t>, reasonable and proportionate</w:t>
      </w:r>
      <w:r w:rsidR="007F3C55">
        <w:t xml:space="preserve"> due diligence on:</w:t>
      </w:r>
    </w:p>
    <w:p w14:paraId="1441C2F4" w14:textId="77777777" w:rsidR="00F779F1" w:rsidRDefault="00F779F1" w:rsidP="00F779F1">
      <w:pPr>
        <w:pStyle w:val="ListParagraph"/>
      </w:pPr>
    </w:p>
    <w:p w14:paraId="00AD769A" w14:textId="6F686D9B" w:rsidR="003E463D" w:rsidRPr="003E463D" w:rsidRDefault="003E463D" w:rsidP="003E463D">
      <w:pPr>
        <w:pStyle w:val="ListParagraph"/>
        <w:numPr>
          <w:ilvl w:val="0"/>
          <w:numId w:val="10"/>
        </w:numPr>
      </w:pPr>
      <w:r>
        <w:t>D</w:t>
      </w:r>
      <w:r w:rsidRPr="003E463D">
        <w:t>onations involving significant reputational or ethical considerations.</w:t>
      </w:r>
    </w:p>
    <w:p w14:paraId="3C25045E" w14:textId="0E92D762" w:rsidR="00011597" w:rsidRPr="003E463D" w:rsidRDefault="003E463D" w:rsidP="70B4DE5A">
      <w:pPr>
        <w:pStyle w:val="ListParagraph"/>
        <w:numPr>
          <w:ilvl w:val="0"/>
          <w:numId w:val="10"/>
        </w:numPr>
        <w:rPr>
          <w:i/>
          <w:iCs/>
        </w:rPr>
      </w:pPr>
      <w:r>
        <w:t>Fundraising partners and third-party platforms.</w:t>
      </w:r>
      <w:r w:rsidR="63DD0B85">
        <w:t xml:space="preserve"> </w:t>
      </w:r>
      <w:r w:rsidR="63DD0B85" w:rsidRPr="70B4DE5A">
        <w:rPr>
          <w:i/>
          <w:iCs/>
        </w:rPr>
        <w:t>Please note that some providers recommended by the national Church of England have already been subject to its due diligence processes.</w:t>
      </w:r>
    </w:p>
    <w:p w14:paraId="42CBEC64" w14:textId="7270CF96" w:rsidR="003E463D" w:rsidRPr="003E463D" w:rsidRDefault="003E463D" w:rsidP="003E463D">
      <w:pPr>
        <w:pStyle w:val="ListParagraph"/>
        <w:numPr>
          <w:ilvl w:val="0"/>
          <w:numId w:val="10"/>
        </w:numPr>
      </w:pPr>
      <w:r>
        <w:t xml:space="preserve">Unusual unsolicited donations, such as those </w:t>
      </w:r>
      <w:r w:rsidR="22BEDAAC">
        <w:t xml:space="preserve">individual single donations </w:t>
      </w:r>
      <w:r>
        <w:t xml:space="preserve">that are unusually large. </w:t>
      </w:r>
    </w:p>
    <w:p w14:paraId="383D2925" w14:textId="34F6D1B2" w:rsidR="003E463D" w:rsidRPr="003E463D" w:rsidRDefault="003E463D" w:rsidP="003E463D">
      <w:pPr>
        <w:pStyle w:val="ListParagraph"/>
        <w:numPr>
          <w:ilvl w:val="0"/>
          <w:numId w:val="10"/>
        </w:numPr>
      </w:pPr>
      <w:r>
        <w:t xml:space="preserve">Anonymous donations or those made through an </w:t>
      </w:r>
      <w:r w:rsidR="5A8934CB">
        <w:t xml:space="preserve">unknown </w:t>
      </w:r>
      <w:r>
        <w:t xml:space="preserve">intermediary. </w:t>
      </w:r>
    </w:p>
    <w:p w14:paraId="32F64246" w14:textId="6F32E79D" w:rsidR="003E463D" w:rsidRPr="003E463D" w:rsidRDefault="003E463D" w:rsidP="003E463D">
      <w:pPr>
        <w:pStyle w:val="ListParagraph"/>
        <w:numPr>
          <w:ilvl w:val="0"/>
          <w:numId w:val="10"/>
        </w:numPr>
      </w:pPr>
      <w:r>
        <w:t xml:space="preserve">Donations with unusual, unreasonable or potentially illegal conditions or restrictions. </w:t>
      </w:r>
    </w:p>
    <w:p w14:paraId="111D08B2" w14:textId="4AB6A417" w:rsidR="003E463D" w:rsidRPr="003E463D" w:rsidRDefault="003E463D" w:rsidP="003E463D">
      <w:pPr>
        <w:pStyle w:val="ListParagraph"/>
        <w:numPr>
          <w:ilvl w:val="0"/>
          <w:numId w:val="10"/>
        </w:numPr>
      </w:pPr>
      <w:r>
        <w:t xml:space="preserve">Donations </w:t>
      </w:r>
      <w:proofErr w:type="gramStart"/>
      <w:r>
        <w:t>associated</w:t>
      </w:r>
      <w:proofErr w:type="gramEnd"/>
      <w:r>
        <w:t xml:space="preserve"> with complex banking or </w:t>
      </w:r>
      <w:r w:rsidR="62B5FDE6">
        <w:t xml:space="preserve">complex </w:t>
      </w:r>
      <w:r>
        <w:t xml:space="preserve">tax arrangements. </w:t>
      </w:r>
    </w:p>
    <w:p w14:paraId="27649DFA" w14:textId="2F017AEA" w:rsidR="003E463D" w:rsidRPr="003E463D" w:rsidRDefault="003E463D" w:rsidP="003E463D">
      <w:pPr>
        <w:pStyle w:val="ListParagraph"/>
        <w:numPr>
          <w:ilvl w:val="0"/>
          <w:numId w:val="10"/>
        </w:numPr>
      </w:pPr>
      <w:r w:rsidRPr="003E463D">
        <w:t xml:space="preserve">Time-limited donations. </w:t>
      </w:r>
    </w:p>
    <w:p w14:paraId="496FA585" w14:textId="7D794323" w:rsidR="003E463D" w:rsidRPr="003E463D" w:rsidRDefault="003E463D" w:rsidP="003E463D">
      <w:pPr>
        <w:pStyle w:val="ListParagraph"/>
        <w:numPr>
          <w:ilvl w:val="0"/>
          <w:numId w:val="10"/>
        </w:numPr>
      </w:pPr>
      <w:r w:rsidRPr="003E463D">
        <w:t xml:space="preserve">Donations in the form of loans. </w:t>
      </w:r>
    </w:p>
    <w:p w14:paraId="53567F84" w14:textId="5D8F23C4" w:rsidR="003E463D" w:rsidRDefault="003E463D" w:rsidP="003E463D">
      <w:pPr>
        <w:pStyle w:val="ListParagraph"/>
        <w:numPr>
          <w:ilvl w:val="0"/>
          <w:numId w:val="10"/>
        </w:numPr>
      </w:pPr>
      <w:r w:rsidRPr="003E463D">
        <w:lastRenderedPageBreak/>
        <w:t>Donations from foreign sources or made in a foreign currency</w:t>
      </w:r>
    </w:p>
    <w:p w14:paraId="20B4DE0E" w14:textId="1C3FB6DA" w:rsidR="003E463D" w:rsidRDefault="003E463D" w:rsidP="003E463D">
      <w:pPr>
        <w:pStyle w:val="ListParagraph"/>
        <w:numPr>
          <w:ilvl w:val="0"/>
          <w:numId w:val="10"/>
        </w:numPr>
      </w:pPr>
      <w:r w:rsidRPr="003E463D">
        <w:t xml:space="preserve">Donations of </w:t>
      </w:r>
      <w:proofErr w:type="gramStart"/>
      <w:r w:rsidRPr="003E463D">
        <w:t>a significantly</w:t>
      </w:r>
      <w:proofErr w:type="gramEnd"/>
      <w:r w:rsidRPr="003E463D">
        <w:t xml:space="preserve"> different value than expected. </w:t>
      </w:r>
    </w:p>
    <w:p w14:paraId="09379A57" w14:textId="2D9AA4E6" w:rsidR="003E463D" w:rsidRPr="003E463D" w:rsidRDefault="003E463D" w:rsidP="003E463D">
      <w:pPr>
        <w:pStyle w:val="ListParagraph"/>
        <w:numPr>
          <w:ilvl w:val="0"/>
          <w:numId w:val="10"/>
        </w:numPr>
      </w:pPr>
      <w:r w:rsidRPr="003E463D">
        <w:t xml:space="preserve">Donations of property, particularly of significant or potentially appreciable value, such as real estate or </w:t>
      </w:r>
      <w:proofErr w:type="spellStart"/>
      <w:proofErr w:type="gramStart"/>
      <w:r w:rsidRPr="003E463D">
        <w:t>cryptoassets</w:t>
      </w:r>
      <w:proofErr w:type="spellEnd"/>
      <w:proofErr w:type="gramEnd"/>
      <w:r w:rsidRPr="003E463D">
        <w:t>.</w:t>
      </w:r>
    </w:p>
    <w:p w14:paraId="75168732" w14:textId="77777777" w:rsidR="003E463D" w:rsidRDefault="003E463D" w:rsidP="003E463D">
      <w:pPr>
        <w:pStyle w:val="ListBullet"/>
        <w:numPr>
          <w:ilvl w:val="0"/>
          <w:numId w:val="0"/>
        </w:numPr>
        <w:ind w:left="360" w:hanging="360"/>
      </w:pPr>
    </w:p>
    <w:p w14:paraId="31A19215" w14:textId="26153CE1" w:rsidR="003E463D" w:rsidRDefault="00F71811" w:rsidP="00F71811">
      <w:pPr>
        <w:pStyle w:val="ListBullet"/>
        <w:numPr>
          <w:ilvl w:val="0"/>
          <w:numId w:val="0"/>
        </w:numPr>
      </w:pPr>
      <w:r>
        <w:t xml:space="preserve">Due Diligence will </w:t>
      </w:r>
      <w:r w:rsidR="003E463D">
        <w:t>consist of</w:t>
      </w:r>
      <w:r w:rsidR="2023B034">
        <w:t xml:space="preserve"> some or </w:t>
      </w:r>
      <w:proofErr w:type="gramStart"/>
      <w:r w:rsidR="2023B034">
        <w:t>all of</w:t>
      </w:r>
      <w:proofErr w:type="gramEnd"/>
      <w:r w:rsidR="2023B034">
        <w:t xml:space="preserve"> the following as appropriate</w:t>
      </w:r>
      <w:r w:rsidR="003E463D">
        <w:t xml:space="preserve">: </w:t>
      </w:r>
    </w:p>
    <w:p w14:paraId="1E414C8F" w14:textId="77777777" w:rsidR="003E463D" w:rsidRDefault="003E463D" w:rsidP="003E463D">
      <w:pPr>
        <w:pStyle w:val="ListBullet"/>
        <w:numPr>
          <w:ilvl w:val="0"/>
          <w:numId w:val="0"/>
        </w:numPr>
        <w:ind w:left="360" w:hanging="360"/>
      </w:pPr>
    </w:p>
    <w:p w14:paraId="7DA70FC6" w14:textId="154A034A" w:rsidR="003E463D" w:rsidRDefault="00F71811" w:rsidP="00F71811">
      <w:pPr>
        <w:pStyle w:val="ListBullet"/>
        <w:numPr>
          <w:ilvl w:val="0"/>
          <w:numId w:val="12"/>
        </w:numPr>
      </w:pPr>
      <w:r>
        <w:t>C</w:t>
      </w:r>
      <w:r w:rsidR="00C11503">
        <w:t>onfirm</w:t>
      </w:r>
      <w:r>
        <w:t>ing</w:t>
      </w:r>
      <w:r w:rsidR="00C11503">
        <w:t xml:space="preserve"> the identity of donors through reliable documentation (e.g.</w:t>
      </w:r>
      <w:r>
        <w:t xml:space="preserve"> photo </w:t>
      </w:r>
      <w:r w:rsidR="00C11503">
        <w:t>ID, business registration</w:t>
      </w:r>
      <w:r>
        <w:t xml:space="preserve"> information</w:t>
      </w:r>
      <w:r w:rsidR="00C11503">
        <w:t>).</w:t>
      </w:r>
    </w:p>
    <w:p w14:paraId="2593A951" w14:textId="24A452A9" w:rsidR="003E463D" w:rsidRDefault="00C11503" w:rsidP="00F71811">
      <w:pPr>
        <w:pStyle w:val="ListBullet"/>
        <w:numPr>
          <w:ilvl w:val="0"/>
          <w:numId w:val="11"/>
        </w:numPr>
      </w:pPr>
      <w:r>
        <w:t>Evaluate whether accepting a donation could harm the church’s reputation</w:t>
      </w:r>
      <w:r w:rsidR="00F71811">
        <w:t xml:space="preserve"> by c</w:t>
      </w:r>
      <w:r>
        <w:t>onsider</w:t>
      </w:r>
      <w:r w:rsidR="00F71811">
        <w:t>ing</w:t>
      </w:r>
      <w:r>
        <w:t xml:space="preserve"> the donor’s background, affiliations, and public perception.</w:t>
      </w:r>
    </w:p>
    <w:p w14:paraId="6A73B9DA" w14:textId="77777777" w:rsidR="00F71811" w:rsidRDefault="00C11503" w:rsidP="00F71811">
      <w:pPr>
        <w:pStyle w:val="ListBullet"/>
        <w:numPr>
          <w:ilvl w:val="0"/>
          <w:numId w:val="11"/>
        </w:numPr>
      </w:pPr>
      <w:r>
        <w:t>Maintain</w:t>
      </w:r>
      <w:r w:rsidR="00F71811">
        <w:t>ing</w:t>
      </w:r>
      <w:r>
        <w:t xml:space="preserve"> clear records of due diligence checks, including the rationale for accepting or refusing donations. </w:t>
      </w:r>
    </w:p>
    <w:p w14:paraId="2E004657" w14:textId="09B33B5F" w:rsidR="00F71811" w:rsidRDefault="00C11503" w:rsidP="34C92307">
      <w:pPr>
        <w:pStyle w:val="ListBullet"/>
      </w:pPr>
      <w:r>
        <w:t xml:space="preserve">Using </w:t>
      </w:r>
      <w:r w:rsidR="00F71811">
        <w:t>e</w:t>
      </w:r>
      <w:r>
        <w:t xml:space="preserve">xternal </w:t>
      </w:r>
      <w:r w:rsidR="00F71811">
        <w:t>r</w:t>
      </w:r>
      <w:r>
        <w:t>esources</w:t>
      </w:r>
      <w:r w:rsidR="00F71811">
        <w:t xml:space="preserve"> such as</w:t>
      </w:r>
      <w:r>
        <w:t xml:space="preserve"> </w:t>
      </w:r>
      <w:r w:rsidR="1098E802">
        <w:t xml:space="preserve">online searches, </w:t>
      </w:r>
      <w:r>
        <w:t>publicly available databases, news sources, and regulatory lists to assess donor credibility.</w:t>
      </w:r>
    </w:p>
    <w:p w14:paraId="41CB5419" w14:textId="77777777" w:rsidR="00F71811" w:rsidRDefault="00F71811" w:rsidP="00F71811">
      <w:pPr>
        <w:pStyle w:val="ListBullet"/>
        <w:numPr>
          <w:ilvl w:val="0"/>
          <w:numId w:val="0"/>
        </w:numPr>
        <w:ind w:left="360"/>
      </w:pPr>
    </w:p>
    <w:p w14:paraId="6A882AA6" w14:textId="30661355" w:rsidR="00F71811" w:rsidRPr="00F71811" w:rsidRDefault="00F71811" w:rsidP="00F71811">
      <w:r w:rsidRPr="00F71811">
        <w:t xml:space="preserve">Due diligence will be proportionate to the size and nature of the donation. </w:t>
      </w:r>
      <w:proofErr w:type="gramStart"/>
      <w:r w:rsidRPr="00F71811">
        <w:t>Higher-value</w:t>
      </w:r>
      <w:proofErr w:type="gramEnd"/>
      <w:r w:rsidRPr="00F71811">
        <w:t xml:space="preserve"> or complex donations will require more thorough checks.</w:t>
      </w:r>
    </w:p>
    <w:p w14:paraId="67DE5361" w14:textId="77777777" w:rsidR="003E463D" w:rsidRDefault="003E463D" w:rsidP="003E463D">
      <w:pPr>
        <w:pStyle w:val="ListBullet"/>
        <w:numPr>
          <w:ilvl w:val="0"/>
          <w:numId w:val="0"/>
        </w:numPr>
      </w:pPr>
    </w:p>
    <w:p w14:paraId="7A82A936" w14:textId="637E2A4D" w:rsidR="00011597" w:rsidRDefault="007F3C55">
      <w:pPr>
        <w:pStyle w:val="Heading2"/>
      </w:pPr>
      <w:r>
        <w:t xml:space="preserve">6. </w:t>
      </w:r>
      <w:r w:rsidR="00F71811">
        <w:t>Safeguarding</w:t>
      </w:r>
    </w:p>
    <w:p w14:paraId="686027D5" w14:textId="69E73196" w:rsidR="00AC3DE9" w:rsidRDefault="00AC3DE9" w:rsidP="00AC3DE9">
      <w:r>
        <w:t xml:space="preserve">Fundraising </w:t>
      </w:r>
      <w:r w:rsidR="00BB1DB8">
        <w:t>will</w:t>
      </w:r>
      <w:r>
        <w:t xml:space="preserve"> be respectful, fair, and avoid any undue influence. </w:t>
      </w:r>
      <w:r w:rsidR="3DAC7DD9">
        <w:t>PCC member</w:t>
      </w:r>
      <w:r>
        <w:t>s must ensure all PCC safeguarding policies are followed when any fundraising activity is undertaken.</w:t>
      </w:r>
    </w:p>
    <w:p w14:paraId="5A933F07" w14:textId="77777777" w:rsidR="00BB1DB8" w:rsidRDefault="00BB1DB8" w:rsidP="00BB1DB8">
      <w:r>
        <w:t>We will always</w:t>
      </w:r>
      <w:r w:rsidRPr="00BB1DB8">
        <w:t xml:space="preserve"> consider the needs of existing or potential donors who may be in vulnerable circumstances or need extra care and support to make an informed decision. This includes: </w:t>
      </w:r>
    </w:p>
    <w:p w14:paraId="37497F51" w14:textId="03DD4456" w:rsidR="00BB1DB8" w:rsidRPr="00BB1DB8" w:rsidRDefault="00BB1DB8" w:rsidP="00BB1DB8">
      <w:pPr>
        <w:pStyle w:val="ListParagraph"/>
        <w:numPr>
          <w:ilvl w:val="0"/>
          <w:numId w:val="14"/>
        </w:numPr>
      </w:pPr>
      <w:r w:rsidRPr="00BB1DB8">
        <w:t xml:space="preserve">not accepting a donation if you know, or have reason to believe, that a person cannot make an informed decision to donate; and </w:t>
      </w:r>
    </w:p>
    <w:p w14:paraId="488FA1C2" w14:textId="707CB662" w:rsidR="00BB1DB8" w:rsidRPr="00BB1DB8" w:rsidRDefault="00BB1DB8" w:rsidP="00BB1DB8">
      <w:pPr>
        <w:pStyle w:val="ListParagraph"/>
        <w:numPr>
          <w:ilvl w:val="0"/>
          <w:numId w:val="14"/>
        </w:numPr>
      </w:pPr>
      <w:r w:rsidRPr="00BB1DB8">
        <w:t xml:space="preserve">returning a donation if you discover that the donor could not make an informed decision at the time of the donation. </w:t>
      </w:r>
    </w:p>
    <w:p w14:paraId="1881EADA" w14:textId="5A9AD38B" w:rsidR="00BB1DB8" w:rsidRPr="00BB1DB8" w:rsidRDefault="00BB1DB8" w:rsidP="00BB1DB8">
      <w:r>
        <w:t xml:space="preserve">We are not expected to assess every existing or potential donor’s capacity to make an informed decision. However, </w:t>
      </w:r>
      <w:r w:rsidR="4D93470D">
        <w:t>t</w:t>
      </w:r>
      <w:r w:rsidR="6A5184A4">
        <w:t>hose who receive donations</w:t>
      </w:r>
      <w:r>
        <w:t xml:space="preserve"> should be alert to signs that someone lacks the capacity to make an informed decision and support them appropriately.</w:t>
      </w:r>
    </w:p>
    <w:p w14:paraId="407C9D82" w14:textId="6D1205EC" w:rsidR="00F71811" w:rsidRDefault="483B677F" w:rsidP="00F71811">
      <w:pPr>
        <w:pStyle w:val="ListBullet"/>
        <w:numPr>
          <w:ilvl w:val="0"/>
          <w:numId w:val="0"/>
        </w:numPr>
      </w:pPr>
      <w:r>
        <w:t>PCC member</w:t>
      </w:r>
      <w:r w:rsidR="00AC3DE9">
        <w:t xml:space="preserve">s will </w:t>
      </w:r>
      <w:r w:rsidR="00AC3DE9" w:rsidRPr="00AC3DE9">
        <w:t xml:space="preserve">carry out due diligence checks into the suitability of </w:t>
      </w:r>
      <w:r w:rsidR="00AC3DE9">
        <w:t>people fundraising on the church’s behalf,</w:t>
      </w:r>
      <w:r w:rsidR="00AC3DE9" w:rsidRPr="00AC3DE9">
        <w:t xml:space="preserve"> where they are likely to have access to children or adults at risk</w:t>
      </w:r>
      <w:r w:rsidR="00F71811" w:rsidRPr="00F71811">
        <w:t xml:space="preserve"> to ensure they do not pose a risk of harm to others, to </w:t>
      </w:r>
      <w:proofErr w:type="gramStart"/>
      <w:r w:rsidR="00F71811" w:rsidRPr="00F71811">
        <w:t>its</w:t>
      </w:r>
      <w:proofErr w:type="gramEnd"/>
      <w:r w:rsidR="00F71811" w:rsidRPr="00F71811">
        <w:t xml:space="preserve"> fundraising reputation, and to that of fundraising generally.</w:t>
      </w:r>
      <w:r w:rsidR="00AC3DE9">
        <w:t xml:space="preserve"> </w:t>
      </w:r>
      <w:r w:rsidR="169EC00A">
        <w:t xml:space="preserve">Treasurers should never be afraid to make careful enquiry to be confident that </w:t>
      </w:r>
      <w:proofErr w:type="gramStart"/>
      <w:r w:rsidR="169EC00A">
        <w:t>any and all</w:t>
      </w:r>
      <w:proofErr w:type="gramEnd"/>
      <w:r w:rsidR="169EC00A">
        <w:t xml:space="preserve"> donors are making informed decisions.</w:t>
      </w:r>
    </w:p>
    <w:p w14:paraId="498BCB70" w14:textId="4BE505B9" w:rsidR="00011597" w:rsidRDefault="00011597" w:rsidP="00AC3DE9">
      <w:pPr>
        <w:pStyle w:val="ListBullet"/>
        <w:numPr>
          <w:ilvl w:val="0"/>
          <w:numId w:val="0"/>
        </w:numPr>
      </w:pPr>
    </w:p>
    <w:p w14:paraId="64A73776" w14:textId="77777777" w:rsidR="00AC3DE9" w:rsidRDefault="00AC3DE9" w:rsidP="00AC3DE9">
      <w:pPr>
        <w:pStyle w:val="ListBullet"/>
        <w:numPr>
          <w:ilvl w:val="0"/>
          <w:numId w:val="0"/>
        </w:numPr>
      </w:pPr>
    </w:p>
    <w:p w14:paraId="429DF4B5" w14:textId="6DF847FF" w:rsidR="00011597" w:rsidRDefault="007F3C55">
      <w:pPr>
        <w:pStyle w:val="Heading2"/>
      </w:pPr>
      <w:r>
        <w:t xml:space="preserve">7. </w:t>
      </w:r>
      <w:r w:rsidR="00270E32">
        <w:t xml:space="preserve">Complaints </w:t>
      </w:r>
    </w:p>
    <w:p w14:paraId="673790D5" w14:textId="5C18B485" w:rsidR="00BA0FE0" w:rsidRDefault="00BB1DB8" w:rsidP="00270E32">
      <w:r>
        <w:t xml:space="preserve">The </w:t>
      </w:r>
      <w:r w:rsidR="264435D9">
        <w:t>PCC</w:t>
      </w:r>
      <w:r w:rsidR="005B5761">
        <w:t xml:space="preserve"> t</w:t>
      </w:r>
      <w:r>
        <w:t>ake</w:t>
      </w:r>
      <w:r w:rsidR="005B5761">
        <w:t>s</w:t>
      </w:r>
      <w:r>
        <w:t xml:space="preserve"> complaints seriously. </w:t>
      </w:r>
    </w:p>
    <w:p w14:paraId="07314652" w14:textId="731F4B9D" w:rsidR="00BA0FE0" w:rsidRDefault="00BA0FE0" w:rsidP="00270E32">
      <w:hyperlink r:id="rId14">
        <w:r w:rsidRPr="45B3ECE8">
          <w:rPr>
            <w:rStyle w:val="Hyperlink"/>
          </w:rPr>
          <w:t>Fundraising complaints</w:t>
        </w:r>
      </w:hyperlink>
      <w:r>
        <w:t xml:space="preserve"> should relate to activities carried out by and on behalf of the church to raise funds for ministry and mission. If you believe that the church has not complied with the </w:t>
      </w:r>
      <w:r w:rsidR="0063799C">
        <w:t>new</w:t>
      </w:r>
      <w:r>
        <w:t xml:space="preserve"> </w:t>
      </w:r>
      <w:hyperlink r:id="rId15">
        <w:r w:rsidRPr="45B3ECE8">
          <w:rPr>
            <w:rStyle w:val="Hyperlink"/>
          </w:rPr>
          <w:t>Code of Fundraising Practice</w:t>
        </w:r>
      </w:hyperlink>
      <w:r>
        <w:t xml:space="preserve">, please raise your concerns with us. </w:t>
      </w:r>
    </w:p>
    <w:p w14:paraId="7C3B11A6" w14:textId="4E319589" w:rsidR="00270E32" w:rsidRDefault="00BA0FE0" w:rsidP="00270E32">
      <w:r>
        <w:t>Email:</w:t>
      </w:r>
      <w:r w:rsidR="00BB1DB8">
        <w:t xml:space="preserve"> [x]</w:t>
      </w:r>
    </w:p>
    <w:p w14:paraId="23541C92" w14:textId="2E15A192" w:rsidR="00BA0FE0" w:rsidRDefault="00BA0FE0" w:rsidP="00270E32">
      <w:r>
        <w:t>Post:</w:t>
      </w:r>
      <w:r w:rsidR="00BB1DB8">
        <w:t xml:space="preserve"> [x]</w:t>
      </w:r>
    </w:p>
    <w:p w14:paraId="31F2A792" w14:textId="25F2C0F1" w:rsidR="00BA0FE0" w:rsidRDefault="00BA0FE0" w:rsidP="00270E32">
      <w:r>
        <w:t xml:space="preserve">We will aim to acknowledge all complaints within [7] days and to resolve them within [30] working days. Your complaint will be investigated </w:t>
      </w:r>
      <w:r w:rsidR="00BB1DB8" w:rsidRPr="00270E32">
        <w:t xml:space="preserve">thoroughly and </w:t>
      </w:r>
      <w:proofErr w:type="gramStart"/>
      <w:r w:rsidR="00BB1DB8" w:rsidRPr="00270E32">
        <w:t>fairly</w:t>
      </w:r>
      <w:proofErr w:type="gramEnd"/>
      <w:r>
        <w:t xml:space="preserve"> and we will let you know the outcome </w:t>
      </w:r>
      <w:r w:rsidR="00BB1DB8">
        <w:t xml:space="preserve">within the timescales above. Throughout the process we will treat you fairly, and deal with your complaint sensitively. Your complaint will be treated confidentially and details shared only with those involved in the investigation. </w:t>
      </w:r>
    </w:p>
    <w:p w14:paraId="319AFF8B" w14:textId="0DA5BFC7" w:rsidR="00270E32" w:rsidRDefault="00270E32" w:rsidP="00270E32">
      <w:r>
        <w:t xml:space="preserve">If </w:t>
      </w:r>
      <w:r w:rsidR="2D568A46">
        <w:t>PCC member</w:t>
      </w:r>
      <w:r>
        <w:t xml:space="preserve">s are unable to resolve complaints themselves, they may be referred </w:t>
      </w:r>
      <w:proofErr w:type="gramStart"/>
      <w:r>
        <w:t>to</w:t>
      </w:r>
      <w:proofErr w:type="gramEnd"/>
      <w:r>
        <w:t xml:space="preserve"> the Fundraising Regulator for consideration. </w:t>
      </w:r>
      <w:r w:rsidR="00BB1DB8">
        <w:t xml:space="preserve">You can almost make a complaint to the Fundraising Regulator directly. </w:t>
      </w:r>
      <w:r>
        <w:t>Its s</w:t>
      </w:r>
      <w:r w:rsidRPr="00270E32">
        <w:t>ervice is free and can be used by anyone who believes they have been affected by poor fundraising practice.</w:t>
      </w:r>
      <w:r>
        <w:t xml:space="preserve"> </w:t>
      </w:r>
      <w:r w:rsidR="00BB1DB8" w:rsidRPr="00BB1DB8">
        <w:t xml:space="preserve">Complaints should be made within two months of the </w:t>
      </w:r>
      <w:r w:rsidR="00BB1DB8">
        <w:t xml:space="preserve">PCC’s </w:t>
      </w:r>
      <w:r w:rsidR="00BB1DB8" w:rsidRPr="00BB1DB8">
        <w:t>final response to a complaint.</w:t>
      </w:r>
    </w:p>
    <w:p w14:paraId="3C1EFA57" w14:textId="6763C44F" w:rsidR="00270E32" w:rsidRDefault="00270E32" w:rsidP="00270E32">
      <w:hyperlink r:id="rId16" w:history="1">
        <w:r w:rsidRPr="00270E32">
          <w:rPr>
            <w:rStyle w:val="Hyperlink"/>
          </w:rPr>
          <w:t>Make a Complaint to the Fundraising Regulator</w:t>
        </w:r>
      </w:hyperlink>
      <w:r>
        <w:t xml:space="preserve"> – you can do this via their online form or by:</w:t>
      </w:r>
    </w:p>
    <w:p w14:paraId="69BF8E65" w14:textId="77777777" w:rsidR="00270E32" w:rsidRPr="00270E32" w:rsidRDefault="00270E32" w:rsidP="00270E32">
      <w:pPr>
        <w:numPr>
          <w:ilvl w:val="0"/>
          <w:numId w:val="13"/>
        </w:numPr>
        <w:rPr>
          <w:lang w:val="en-GB"/>
        </w:rPr>
      </w:pPr>
      <w:r w:rsidRPr="00270E32">
        <w:rPr>
          <w:lang w:val="en-GB"/>
        </w:rPr>
        <w:t>emailing </w:t>
      </w:r>
      <w:hyperlink r:id="rId17" w:history="1">
        <w:r w:rsidRPr="00270E32">
          <w:rPr>
            <w:rStyle w:val="Hyperlink"/>
            <w:b/>
            <w:bCs/>
            <w:lang w:val="en-GB"/>
          </w:rPr>
          <w:t>complaints@fundraisingregulator.org.uk</w:t>
        </w:r>
      </w:hyperlink>
    </w:p>
    <w:p w14:paraId="74C6A542" w14:textId="77777777" w:rsidR="00270E32" w:rsidRPr="00270E32" w:rsidRDefault="00270E32" w:rsidP="00270E32">
      <w:pPr>
        <w:numPr>
          <w:ilvl w:val="0"/>
          <w:numId w:val="13"/>
        </w:numPr>
        <w:rPr>
          <w:lang w:val="en-GB"/>
        </w:rPr>
      </w:pPr>
      <w:r w:rsidRPr="00270E32">
        <w:rPr>
          <w:lang w:val="en-GB"/>
        </w:rPr>
        <w:t>calling 0300 999 3407 (Monday to Friday, 09.30 am – 4.30 pm)</w:t>
      </w:r>
    </w:p>
    <w:p w14:paraId="03BEDCC0" w14:textId="77777777" w:rsidR="00270E32" w:rsidRPr="00270E32" w:rsidRDefault="00270E32" w:rsidP="00270E32">
      <w:pPr>
        <w:numPr>
          <w:ilvl w:val="0"/>
          <w:numId w:val="13"/>
        </w:numPr>
        <w:rPr>
          <w:lang w:val="en-GB"/>
        </w:rPr>
      </w:pPr>
      <w:r w:rsidRPr="00270E32">
        <w:rPr>
          <w:lang w:val="en-GB"/>
        </w:rPr>
        <w:t>sending a letter to Fundraising Regulator, 50 Featherstone Street, London, EC1Y 8RT</w:t>
      </w:r>
    </w:p>
    <w:p w14:paraId="2A8B2BF0" w14:textId="50D2FD6A" w:rsidR="00011597" w:rsidRDefault="007F3C55">
      <w:pPr>
        <w:pStyle w:val="Heading2"/>
      </w:pPr>
      <w:r>
        <w:t>8. Monitoring and Review</w:t>
      </w:r>
    </w:p>
    <w:p w14:paraId="38217160" w14:textId="45E12A8E" w:rsidR="00011597" w:rsidRDefault="007F3C55">
      <w:r>
        <w:t>T</w:t>
      </w:r>
      <w:r w:rsidR="0C665742">
        <w:t>he PCC</w:t>
      </w:r>
      <w:r>
        <w:t xml:space="preserve"> will:</w:t>
      </w:r>
    </w:p>
    <w:p w14:paraId="76074BE2" w14:textId="3F756BA1" w:rsidR="00011597" w:rsidRDefault="007F3C55">
      <w:pPr>
        <w:pStyle w:val="ListBullet"/>
      </w:pPr>
      <w:r>
        <w:t>Monitor compliance with this policy.</w:t>
      </w:r>
    </w:p>
    <w:p w14:paraId="10F71F68" w14:textId="4C6CC1D8" w:rsidR="00011597" w:rsidRDefault="007F3C55">
      <w:pPr>
        <w:pStyle w:val="ListBullet"/>
      </w:pPr>
      <w:r>
        <w:t>Review the policy annually or in response to changes in regulation or church practice.</w:t>
      </w:r>
    </w:p>
    <w:p w14:paraId="7AE1D2F0" w14:textId="77777777" w:rsidR="00AC3DE9" w:rsidRDefault="00AC3DE9" w:rsidP="00AC3DE9">
      <w:pPr>
        <w:pStyle w:val="ListBullet"/>
        <w:numPr>
          <w:ilvl w:val="0"/>
          <w:numId w:val="0"/>
        </w:numPr>
        <w:ind w:left="360" w:hanging="360"/>
      </w:pPr>
    </w:p>
    <w:p w14:paraId="218B8625" w14:textId="77777777" w:rsidR="00AC3DE9" w:rsidRDefault="00AC3DE9" w:rsidP="00AC3DE9">
      <w:pPr>
        <w:pStyle w:val="ListBullet"/>
        <w:numPr>
          <w:ilvl w:val="0"/>
          <w:numId w:val="0"/>
        </w:numPr>
        <w:ind w:left="360" w:hanging="360"/>
      </w:pPr>
    </w:p>
    <w:p w14:paraId="7995987F" w14:textId="77777777" w:rsidR="00AC3DE9" w:rsidRDefault="00AC3DE9" w:rsidP="00AC3DE9">
      <w:pPr>
        <w:pStyle w:val="ListBullet"/>
        <w:numPr>
          <w:ilvl w:val="0"/>
          <w:numId w:val="0"/>
        </w:numPr>
        <w:ind w:left="360" w:hanging="360"/>
      </w:pPr>
    </w:p>
    <w:tbl>
      <w:tblPr>
        <w:tblStyle w:val="TableGrid"/>
        <w:tblW w:w="0" w:type="auto"/>
        <w:tblInd w:w="360" w:type="dxa"/>
        <w:tblLook w:val="04A0" w:firstRow="1" w:lastRow="0" w:firstColumn="1" w:lastColumn="0" w:noHBand="0" w:noVBand="1"/>
      </w:tblPr>
      <w:tblGrid>
        <w:gridCol w:w="2771"/>
        <w:gridCol w:w="2748"/>
        <w:gridCol w:w="2751"/>
      </w:tblGrid>
      <w:tr w:rsidR="00AC3DE9" w14:paraId="68D27AC7" w14:textId="77777777" w:rsidTr="00AC3DE9">
        <w:tc>
          <w:tcPr>
            <w:tcW w:w="2952" w:type="dxa"/>
          </w:tcPr>
          <w:p w14:paraId="31D438C5" w14:textId="7DAC9C75" w:rsidR="00AC3DE9" w:rsidRDefault="00AC3DE9" w:rsidP="00AC3DE9">
            <w:pPr>
              <w:pStyle w:val="Heading1"/>
            </w:pPr>
            <w:r>
              <w:lastRenderedPageBreak/>
              <w:t>Signed</w:t>
            </w:r>
          </w:p>
        </w:tc>
        <w:tc>
          <w:tcPr>
            <w:tcW w:w="2952" w:type="dxa"/>
          </w:tcPr>
          <w:p w14:paraId="3592B3CF" w14:textId="4A2EA3C6" w:rsidR="00AC3DE9" w:rsidRDefault="00AC3DE9" w:rsidP="00AC3DE9">
            <w:pPr>
              <w:pStyle w:val="Heading1"/>
            </w:pPr>
            <w:r>
              <w:t>Role</w:t>
            </w:r>
          </w:p>
        </w:tc>
        <w:tc>
          <w:tcPr>
            <w:tcW w:w="2952" w:type="dxa"/>
          </w:tcPr>
          <w:p w14:paraId="5808E8A9" w14:textId="1CE5D6F1" w:rsidR="00AC3DE9" w:rsidRDefault="00AC3DE9" w:rsidP="00AC3DE9">
            <w:pPr>
              <w:pStyle w:val="Heading1"/>
            </w:pPr>
            <w:r>
              <w:t>Date</w:t>
            </w:r>
          </w:p>
        </w:tc>
      </w:tr>
      <w:tr w:rsidR="00AC3DE9" w14:paraId="315249DC" w14:textId="77777777" w:rsidTr="00AC3DE9">
        <w:tc>
          <w:tcPr>
            <w:tcW w:w="2952" w:type="dxa"/>
          </w:tcPr>
          <w:p w14:paraId="6DBD06E5" w14:textId="77777777" w:rsidR="00AC3DE9" w:rsidRDefault="00AC3DE9" w:rsidP="00AC3DE9">
            <w:pPr>
              <w:pStyle w:val="ListBullet"/>
              <w:numPr>
                <w:ilvl w:val="0"/>
                <w:numId w:val="0"/>
              </w:numPr>
            </w:pPr>
          </w:p>
        </w:tc>
        <w:tc>
          <w:tcPr>
            <w:tcW w:w="2952" w:type="dxa"/>
          </w:tcPr>
          <w:p w14:paraId="07BE80E5" w14:textId="77777777" w:rsidR="00AC3DE9" w:rsidRDefault="00AC3DE9" w:rsidP="00AC3DE9">
            <w:pPr>
              <w:pStyle w:val="ListBullet"/>
              <w:numPr>
                <w:ilvl w:val="0"/>
                <w:numId w:val="0"/>
              </w:numPr>
            </w:pPr>
          </w:p>
        </w:tc>
        <w:tc>
          <w:tcPr>
            <w:tcW w:w="2952" w:type="dxa"/>
          </w:tcPr>
          <w:p w14:paraId="326394DA" w14:textId="77777777" w:rsidR="00AC3DE9" w:rsidRDefault="00AC3DE9" w:rsidP="00AC3DE9">
            <w:pPr>
              <w:pStyle w:val="ListBullet"/>
              <w:numPr>
                <w:ilvl w:val="0"/>
                <w:numId w:val="0"/>
              </w:numPr>
            </w:pPr>
          </w:p>
        </w:tc>
      </w:tr>
      <w:tr w:rsidR="00AC3DE9" w14:paraId="30CCE10C" w14:textId="77777777" w:rsidTr="00AC3DE9">
        <w:tc>
          <w:tcPr>
            <w:tcW w:w="2952" w:type="dxa"/>
          </w:tcPr>
          <w:p w14:paraId="492EB5BE" w14:textId="77777777" w:rsidR="00AC3DE9" w:rsidRDefault="00AC3DE9" w:rsidP="00AC3DE9">
            <w:pPr>
              <w:pStyle w:val="ListBullet"/>
              <w:numPr>
                <w:ilvl w:val="0"/>
                <w:numId w:val="0"/>
              </w:numPr>
            </w:pPr>
          </w:p>
        </w:tc>
        <w:tc>
          <w:tcPr>
            <w:tcW w:w="2952" w:type="dxa"/>
          </w:tcPr>
          <w:p w14:paraId="1FFF09D3" w14:textId="77777777" w:rsidR="00AC3DE9" w:rsidRDefault="00AC3DE9" w:rsidP="00AC3DE9">
            <w:pPr>
              <w:pStyle w:val="ListBullet"/>
              <w:numPr>
                <w:ilvl w:val="0"/>
                <w:numId w:val="0"/>
              </w:numPr>
            </w:pPr>
          </w:p>
        </w:tc>
        <w:tc>
          <w:tcPr>
            <w:tcW w:w="2952" w:type="dxa"/>
          </w:tcPr>
          <w:p w14:paraId="1628A84A" w14:textId="77777777" w:rsidR="00AC3DE9" w:rsidRDefault="00AC3DE9" w:rsidP="00AC3DE9">
            <w:pPr>
              <w:pStyle w:val="ListBullet"/>
              <w:numPr>
                <w:ilvl w:val="0"/>
                <w:numId w:val="0"/>
              </w:numPr>
            </w:pPr>
          </w:p>
        </w:tc>
      </w:tr>
    </w:tbl>
    <w:p w14:paraId="041DE367" w14:textId="77777777" w:rsidR="00AC3DE9" w:rsidRDefault="00AC3DE9" w:rsidP="00AC3DE9">
      <w:pPr>
        <w:pStyle w:val="ListBullet"/>
        <w:numPr>
          <w:ilvl w:val="0"/>
          <w:numId w:val="0"/>
        </w:numPr>
        <w:ind w:left="360" w:hanging="360"/>
      </w:pPr>
    </w:p>
    <w:sectPr w:rsidR="00AC3DE9" w:rsidSect="00034616">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55E7" w14:textId="77777777" w:rsidR="00857C0B" w:rsidRDefault="00857C0B" w:rsidP="00AC3DE9">
      <w:pPr>
        <w:spacing w:after="0" w:line="240" w:lineRule="auto"/>
      </w:pPr>
      <w:r>
        <w:separator/>
      </w:r>
    </w:p>
  </w:endnote>
  <w:endnote w:type="continuationSeparator" w:id="0">
    <w:p w14:paraId="25F9E161" w14:textId="77777777" w:rsidR="00857C0B" w:rsidRDefault="00857C0B" w:rsidP="00AC3DE9">
      <w:pPr>
        <w:spacing w:after="0" w:line="240" w:lineRule="auto"/>
      </w:pPr>
      <w:r>
        <w:continuationSeparator/>
      </w:r>
    </w:p>
  </w:endnote>
  <w:endnote w:type="continuationNotice" w:id="1">
    <w:p w14:paraId="2E99413C" w14:textId="77777777" w:rsidR="00857C0B" w:rsidRDefault="00857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90098"/>
      <w:docPartObj>
        <w:docPartGallery w:val="Page Numbers (Bottom of Page)"/>
        <w:docPartUnique/>
      </w:docPartObj>
    </w:sdtPr>
    <w:sdtEndPr>
      <w:rPr>
        <w:noProof/>
      </w:rPr>
    </w:sdtEndPr>
    <w:sdtContent>
      <w:p w14:paraId="531CA598" w14:textId="0AE6CCC8" w:rsidR="00AC3DE9" w:rsidRDefault="00AC3DE9">
        <w:pPr>
          <w:pStyle w:val="Footer"/>
        </w:pPr>
        <w:r>
          <w:fldChar w:fldCharType="begin"/>
        </w:r>
        <w:r>
          <w:instrText xml:space="preserve"> PAGE   \* MERGEFORMAT </w:instrText>
        </w:r>
        <w:r>
          <w:fldChar w:fldCharType="separate"/>
        </w:r>
        <w:r>
          <w:rPr>
            <w:noProof/>
          </w:rPr>
          <w:t>2</w:t>
        </w:r>
        <w:r>
          <w:rPr>
            <w:noProof/>
          </w:rPr>
          <w:fldChar w:fldCharType="end"/>
        </w:r>
      </w:p>
    </w:sdtContent>
  </w:sdt>
  <w:p w14:paraId="70E7FCA5" w14:textId="77777777" w:rsidR="00AC3DE9" w:rsidRDefault="00AC3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4D45" w14:textId="77777777" w:rsidR="00857C0B" w:rsidRDefault="00857C0B" w:rsidP="00AC3DE9">
      <w:pPr>
        <w:spacing w:after="0" w:line="240" w:lineRule="auto"/>
      </w:pPr>
      <w:r>
        <w:separator/>
      </w:r>
    </w:p>
  </w:footnote>
  <w:footnote w:type="continuationSeparator" w:id="0">
    <w:p w14:paraId="725BABE1" w14:textId="77777777" w:rsidR="00857C0B" w:rsidRDefault="00857C0B" w:rsidP="00AC3DE9">
      <w:pPr>
        <w:spacing w:after="0" w:line="240" w:lineRule="auto"/>
      </w:pPr>
      <w:r>
        <w:continuationSeparator/>
      </w:r>
    </w:p>
  </w:footnote>
  <w:footnote w:type="continuationNotice" w:id="1">
    <w:p w14:paraId="73418180" w14:textId="77777777" w:rsidR="00857C0B" w:rsidRDefault="00857C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2BA8D6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C60885"/>
    <w:multiLevelType w:val="multilevel"/>
    <w:tmpl w:val="19AA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A760F"/>
    <w:multiLevelType w:val="hybridMultilevel"/>
    <w:tmpl w:val="E328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1463A"/>
    <w:multiLevelType w:val="hybridMultilevel"/>
    <w:tmpl w:val="C3D4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9A4839"/>
    <w:multiLevelType w:val="hybridMultilevel"/>
    <w:tmpl w:val="DAE8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A64E1"/>
    <w:multiLevelType w:val="hybridMultilevel"/>
    <w:tmpl w:val="9FBA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556302">
    <w:abstractNumId w:val="8"/>
  </w:num>
  <w:num w:numId="2" w16cid:durableId="1940219097">
    <w:abstractNumId w:val="6"/>
  </w:num>
  <w:num w:numId="3" w16cid:durableId="1472092591">
    <w:abstractNumId w:val="5"/>
  </w:num>
  <w:num w:numId="4" w16cid:durableId="294213049">
    <w:abstractNumId w:val="4"/>
  </w:num>
  <w:num w:numId="5" w16cid:durableId="758872111">
    <w:abstractNumId w:val="7"/>
  </w:num>
  <w:num w:numId="6" w16cid:durableId="578442329">
    <w:abstractNumId w:val="3"/>
  </w:num>
  <w:num w:numId="7" w16cid:durableId="1545672163">
    <w:abstractNumId w:val="2"/>
  </w:num>
  <w:num w:numId="8" w16cid:durableId="1841696441">
    <w:abstractNumId w:val="1"/>
  </w:num>
  <w:num w:numId="9" w16cid:durableId="337580992">
    <w:abstractNumId w:val="0"/>
  </w:num>
  <w:num w:numId="10" w16cid:durableId="828180921">
    <w:abstractNumId w:val="11"/>
  </w:num>
  <w:num w:numId="11" w16cid:durableId="434249675">
    <w:abstractNumId w:val="12"/>
  </w:num>
  <w:num w:numId="12" w16cid:durableId="285895969">
    <w:abstractNumId w:val="13"/>
  </w:num>
  <w:num w:numId="13" w16cid:durableId="479083388">
    <w:abstractNumId w:val="9"/>
  </w:num>
  <w:num w:numId="14" w16cid:durableId="723915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4FF"/>
    <w:rsid w:val="00002A25"/>
    <w:rsid w:val="00011597"/>
    <w:rsid w:val="00034616"/>
    <w:rsid w:val="000348FA"/>
    <w:rsid w:val="0006063C"/>
    <w:rsid w:val="00064026"/>
    <w:rsid w:val="00064AD6"/>
    <w:rsid w:val="000A7EED"/>
    <w:rsid w:val="000C394E"/>
    <w:rsid w:val="000E1FAE"/>
    <w:rsid w:val="00105C67"/>
    <w:rsid w:val="00137632"/>
    <w:rsid w:val="00140BBA"/>
    <w:rsid w:val="0014511D"/>
    <w:rsid w:val="0014680A"/>
    <w:rsid w:val="0015074B"/>
    <w:rsid w:val="00164156"/>
    <w:rsid w:val="001724F2"/>
    <w:rsid w:val="00193B2A"/>
    <w:rsid w:val="001D33E2"/>
    <w:rsid w:val="001D553B"/>
    <w:rsid w:val="001E625D"/>
    <w:rsid w:val="001F1853"/>
    <w:rsid w:val="001F2A9B"/>
    <w:rsid w:val="00232941"/>
    <w:rsid w:val="00257027"/>
    <w:rsid w:val="00270E32"/>
    <w:rsid w:val="0029639D"/>
    <w:rsid w:val="002F71CA"/>
    <w:rsid w:val="00310642"/>
    <w:rsid w:val="00326F90"/>
    <w:rsid w:val="003A6933"/>
    <w:rsid w:val="003C5EA0"/>
    <w:rsid w:val="003E463D"/>
    <w:rsid w:val="003F6141"/>
    <w:rsid w:val="00443102"/>
    <w:rsid w:val="004461DE"/>
    <w:rsid w:val="00464564"/>
    <w:rsid w:val="00494215"/>
    <w:rsid w:val="0049455B"/>
    <w:rsid w:val="004D207C"/>
    <w:rsid w:val="004E7AF4"/>
    <w:rsid w:val="004F1E9D"/>
    <w:rsid w:val="005140CA"/>
    <w:rsid w:val="00586D3E"/>
    <w:rsid w:val="005936D5"/>
    <w:rsid w:val="005B2BAF"/>
    <w:rsid w:val="005B5761"/>
    <w:rsid w:val="005C2C65"/>
    <w:rsid w:val="005C5D02"/>
    <w:rsid w:val="005E30B0"/>
    <w:rsid w:val="005F6403"/>
    <w:rsid w:val="00630DFE"/>
    <w:rsid w:val="0063799C"/>
    <w:rsid w:val="006476FC"/>
    <w:rsid w:val="00683F36"/>
    <w:rsid w:val="006F4FB8"/>
    <w:rsid w:val="00704896"/>
    <w:rsid w:val="00751196"/>
    <w:rsid w:val="007611F5"/>
    <w:rsid w:val="007848DE"/>
    <w:rsid w:val="00785D91"/>
    <w:rsid w:val="007D17FD"/>
    <w:rsid w:val="007E13D7"/>
    <w:rsid w:val="007F2D2B"/>
    <w:rsid w:val="007F3C55"/>
    <w:rsid w:val="00853A67"/>
    <w:rsid w:val="00857C0B"/>
    <w:rsid w:val="008C23BE"/>
    <w:rsid w:val="008D6AA5"/>
    <w:rsid w:val="008E6D6B"/>
    <w:rsid w:val="009301C3"/>
    <w:rsid w:val="009408A9"/>
    <w:rsid w:val="009753A9"/>
    <w:rsid w:val="00994DC0"/>
    <w:rsid w:val="009C3D34"/>
    <w:rsid w:val="009E6B02"/>
    <w:rsid w:val="009F083B"/>
    <w:rsid w:val="009F2864"/>
    <w:rsid w:val="00A13E2A"/>
    <w:rsid w:val="00A61485"/>
    <w:rsid w:val="00A650F3"/>
    <w:rsid w:val="00AA1D8D"/>
    <w:rsid w:val="00AC3DE9"/>
    <w:rsid w:val="00B47730"/>
    <w:rsid w:val="00B64F5D"/>
    <w:rsid w:val="00B656CD"/>
    <w:rsid w:val="00B8035A"/>
    <w:rsid w:val="00B80AB3"/>
    <w:rsid w:val="00BA0FE0"/>
    <w:rsid w:val="00BB1DB8"/>
    <w:rsid w:val="00BC14BE"/>
    <w:rsid w:val="00BC73C3"/>
    <w:rsid w:val="00BF4162"/>
    <w:rsid w:val="00C11503"/>
    <w:rsid w:val="00C307B9"/>
    <w:rsid w:val="00C45EB7"/>
    <w:rsid w:val="00C626A9"/>
    <w:rsid w:val="00CB0664"/>
    <w:rsid w:val="00CC0BFB"/>
    <w:rsid w:val="00CE76FA"/>
    <w:rsid w:val="00CF7528"/>
    <w:rsid w:val="00D85212"/>
    <w:rsid w:val="00D97F87"/>
    <w:rsid w:val="00DD6829"/>
    <w:rsid w:val="00DF4299"/>
    <w:rsid w:val="00E034A6"/>
    <w:rsid w:val="00E63D81"/>
    <w:rsid w:val="00E82FF0"/>
    <w:rsid w:val="00EA367B"/>
    <w:rsid w:val="00EE4DA6"/>
    <w:rsid w:val="00EE62DE"/>
    <w:rsid w:val="00F02894"/>
    <w:rsid w:val="00F6301A"/>
    <w:rsid w:val="00F71811"/>
    <w:rsid w:val="00F75F5E"/>
    <w:rsid w:val="00F779F1"/>
    <w:rsid w:val="00FC693F"/>
    <w:rsid w:val="00FC6B43"/>
    <w:rsid w:val="00FF1461"/>
    <w:rsid w:val="00FF17C9"/>
    <w:rsid w:val="0492CBC2"/>
    <w:rsid w:val="0A661DF9"/>
    <w:rsid w:val="0C240449"/>
    <w:rsid w:val="0C665742"/>
    <w:rsid w:val="0C7B5DCF"/>
    <w:rsid w:val="1098E802"/>
    <w:rsid w:val="130586C9"/>
    <w:rsid w:val="1437D152"/>
    <w:rsid w:val="15DD57F6"/>
    <w:rsid w:val="169EC00A"/>
    <w:rsid w:val="1F63F961"/>
    <w:rsid w:val="1F951526"/>
    <w:rsid w:val="2023B034"/>
    <w:rsid w:val="22BEDAAC"/>
    <w:rsid w:val="22E0F645"/>
    <w:rsid w:val="239BF6C0"/>
    <w:rsid w:val="264435D9"/>
    <w:rsid w:val="27CF0719"/>
    <w:rsid w:val="2CBFE0B6"/>
    <w:rsid w:val="2D568A46"/>
    <w:rsid w:val="32B58C01"/>
    <w:rsid w:val="34C92307"/>
    <w:rsid w:val="3552BEEF"/>
    <w:rsid w:val="3774D0C4"/>
    <w:rsid w:val="38203561"/>
    <w:rsid w:val="3A01417C"/>
    <w:rsid w:val="3DAC7DD9"/>
    <w:rsid w:val="3DB700D1"/>
    <w:rsid w:val="3EBAC14F"/>
    <w:rsid w:val="4163789E"/>
    <w:rsid w:val="4248EBAA"/>
    <w:rsid w:val="4498145F"/>
    <w:rsid w:val="44A905AD"/>
    <w:rsid w:val="450A0D65"/>
    <w:rsid w:val="45B3ECE8"/>
    <w:rsid w:val="465A5187"/>
    <w:rsid w:val="468A0578"/>
    <w:rsid w:val="46BC4A07"/>
    <w:rsid w:val="48061E1E"/>
    <w:rsid w:val="483B677F"/>
    <w:rsid w:val="4ACA392D"/>
    <w:rsid w:val="4C42DDE4"/>
    <w:rsid w:val="4D93470D"/>
    <w:rsid w:val="511A90A9"/>
    <w:rsid w:val="51F7371B"/>
    <w:rsid w:val="537750A6"/>
    <w:rsid w:val="54B8D8E5"/>
    <w:rsid w:val="55E32527"/>
    <w:rsid w:val="56ECFB4E"/>
    <w:rsid w:val="5A8934CB"/>
    <w:rsid w:val="5D5D5A79"/>
    <w:rsid w:val="5EE12848"/>
    <w:rsid w:val="60751FEF"/>
    <w:rsid w:val="60ABC2BC"/>
    <w:rsid w:val="62295F25"/>
    <w:rsid w:val="62B5FDE6"/>
    <w:rsid w:val="62D0D2F9"/>
    <w:rsid w:val="63DD0B85"/>
    <w:rsid w:val="68DE60A9"/>
    <w:rsid w:val="699A4B85"/>
    <w:rsid w:val="6A5184A4"/>
    <w:rsid w:val="6A8F7440"/>
    <w:rsid w:val="6AD8EA5B"/>
    <w:rsid w:val="6B02811D"/>
    <w:rsid w:val="6B1A0765"/>
    <w:rsid w:val="6C419411"/>
    <w:rsid w:val="6C5525DD"/>
    <w:rsid w:val="6EA498F8"/>
    <w:rsid w:val="70B4DE5A"/>
    <w:rsid w:val="7275E401"/>
    <w:rsid w:val="78E3F98F"/>
    <w:rsid w:val="7A9F56B3"/>
    <w:rsid w:val="7B3B6AA3"/>
    <w:rsid w:val="7E6325A5"/>
    <w:rsid w:val="7E87A5BC"/>
    <w:rsid w:val="7F9D27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EEDD7"/>
  <w14:defaultImageDpi w14:val="300"/>
  <w15:docId w15:val="{8AAF705A-F625-4DA5-9BC8-BA2A9D8F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C11503"/>
    <w:rPr>
      <w:sz w:val="16"/>
      <w:szCs w:val="16"/>
    </w:rPr>
  </w:style>
  <w:style w:type="paragraph" w:styleId="CommentText">
    <w:name w:val="annotation text"/>
    <w:basedOn w:val="Normal"/>
    <w:link w:val="CommentTextChar"/>
    <w:uiPriority w:val="99"/>
    <w:unhideWhenUsed/>
    <w:rsid w:val="00C11503"/>
    <w:pPr>
      <w:spacing w:line="240" w:lineRule="auto"/>
    </w:pPr>
    <w:rPr>
      <w:sz w:val="20"/>
      <w:szCs w:val="20"/>
    </w:rPr>
  </w:style>
  <w:style w:type="character" w:customStyle="1" w:styleId="CommentTextChar">
    <w:name w:val="Comment Text Char"/>
    <w:basedOn w:val="DefaultParagraphFont"/>
    <w:link w:val="CommentText"/>
    <w:uiPriority w:val="99"/>
    <w:rsid w:val="00C11503"/>
    <w:rPr>
      <w:sz w:val="20"/>
      <w:szCs w:val="20"/>
    </w:rPr>
  </w:style>
  <w:style w:type="paragraph" w:styleId="CommentSubject">
    <w:name w:val="annotation subject"/>
    <w:basedOn w:val="CommentText"/>
    <w:next w:val="CommentText"/>
    <w:link w:val="CommentSubjectChar"/>
    <w:uiPriority w:val="99"/>
    <w:semiHidden/>
    <w:unhideWhenUsed/>
    <w:rsid w:val="00C11503"/>
    <w:rPr>
      <w:b/>
      <w:bCs/>
    </w:rPr>
  </w:style>
  <w:style w:type="character" w:customStyle="1" w:styleId="CommentSubjectChar">
    <w:name w:val="Comment Subject Char"/>
    <w:basedOn w:val="CommentTextChar"/>
    <w:link w:val="CommentSubject"/>
    <w:uiPriority w:val="99"/>
    <w:semiHidden/>
    <w:rsid w:val="00C11503"/>
    <w:rPr>
      <w:b/>
      <w:bCs/>
      <w:sz w:val="20"/>
      <w:szCs w:val="20"/>
    </w:rPr>
  </w:style>
  <w:style w:type="character" w:styleId="Hyperlink">
    <w:name w:val="Hyperlink"/>
    <w:basedOn w:val="DefaultParagraphFont"/>
    <w:uiPriority w:val="99"/>
    <w:unhideWhenUsed/>
    <w:rsid w:val="00C11503"/>
    <w:rPr>
      <w:color w:val="0000FF" w:themeColor="hyperlink"/>
      <w:u w:val="single"/>
    </w:rPr>
  </w:style>
  <w:style w:type="character" w:styleId="UnresolvedMention">
    <w:name w:val="Unresolved Mention"/>
    <w:basedOn w:val="DefaultParagraphFont"/>
    <w:uiPriority w:val="99"/>
    <w:semiHidden/>
    <w:unhideWhenUsed/>
    <w:rsid w:val="00C11503"/>
    <w:rPr>
      <w:color w:val="605E5C"/>
      <w:shd w:val="clear" w:color="auto" w:fill="E1DFDD"/>
    </w:rPr>
  </w:style>
  <w:style w:type="paragraph" w:styleId="Revision">
    <w:name w:val="Revision"/>
    <w:hidden/>
    <w:uiPriority w:val="99"/>
    <w:semiHidden/>
    <w:rsid w:val="00514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7592">
      <w:bodyDiv w:val="1"/>
      <w:marLeft w:val="0"/>
      <w:marRight w:val="0"/>
      <w:marTop w:val="0"/>
      <w:marBottom w:val="0"/>
      <w:divBdr>
        <w:top w:val="none" w:sz="0" w:space="0" w:color="auto"/>
        <w:left w:val="none" w:sz="0" w:space="0" w:color="auto"/>
        <w:bottom w:val="none" w:sz="0" w:space="0" w:color="auto"/>
        <w:right w:val="none" w:sz="0" w:space="0" w:color="auto"/>
      </w:divBdr>
    </w:div>
    <w:div w:id="1779133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ndraisingregulator.org.uk/sites/default/files/2025-04/Due%20diligence%20and%20fundraising_.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undraisingregulator.org.uk/sites/default/files/2025-04/Documenting%20your%20fundraising%20decisions_.pdf" TargetMode="External"/><Relationship Id="rId17" Type="http://schemas.openxmlformats.org/officeDocument/2006/relationships/hyperlink" Target="mailto:complaints@fundraisingregulator.org.uk" TargetMode="External"/><Relationship Id="rId2" Type="http://schemas.openxmlformats.org/officeDocument/2006/relationships/customXml" Target="../customXml/item2.xml"/><Relationship Id="rId16" Type="http://schemas.openxmlformats.org/officeDocument/2006/relationships/hyperlink" Target="https://www.fundraisingregulator.org.uk/service/complaints-and-investigations/make-compla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accepting-refusing-and-returning-donations-to-your-charity" TargetMode="External"/><Relationship Id="rId5" Type="http://schemas.openxmlformats.org/officeDocument/2006/relationships/numbering" Target="numbering.xml"/><Relationship Id="rId15" Type="http://schemas.openxmlformats.org/officeDocument/2006/relationships/hyperlink" Target="https://www.fundraisingregulator.org.uk/co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raisingregulator.org.uk/about-fundraising/topics/complaints-hand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1d1823-bb3c-40bc-ac4c-8ca84ca3a3ed" xsi:nil="true"/>
    <lcf76f155ced4ddcb4097134ff3c332f xmlns="b1cfc738-37bb-4704-a0f4-8a8ac9588d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F5DABB0F0DF64BBD1897D9FCA862DA" ma:contentTypeVersion="16" ma:contentTypeDescription="Create a new document." ma:contentTypeScope="" ma:versionID="b0f510ec3c8eb972e0431a1bfb3e07ce">
  <xsd:schema xmlns:xsd="http://www.w3.org/2001/XMLSchema" xmlns:xs="http://www.w3.org/2001/XMLSchema" xmlns:p="http://schemas.microsoft.com/office/2006/metadata/properties" xmlns:ns2="b1cfc738-37bb-4704-a0f4-8a8ac9588d4d" xmlns:ns3="2e1d1823-bb3c-40bc-ac4c-8ca84ca3a3ed" targetNamespace="http://schemas.microsoft.com/office/2006/metadata/properties" ma:root="true" ma:fieldsID="d48927076a97d689073f8967e1381baa" ns2:_="" ns3:_="">
    <xsd:import namespace="b1cfc738-37bb-4704-a0f4-8a8ac9588d4d"/>
    <xsd:import namespace="2e1d1823-bb3c-40bc-ac4c-8ca84ca3a3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fc738-37bb-4704-a0f4-8a8ac9588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7c04e1-76c7-4c3e-90f5-e03cd6c28e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d1823-bb3c-40bc-ac4c-8ca84ca3a3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7a786a-f188-4c7b-9c7d-e6bac06250a8}" ma:internalName="TaxCatchAll" ma:showField="CatchAllData" ma:web="2e1d1823-bb3c-40bc-ac4c-8ca84ca3a3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DEE2A-05E8-4D6C-9E33-6294D400BFB3}">
  <ds:schemaRefs>
    <ds:schemaRef ds:uri="http://schemas.microsoft.com/office/2006/metadata/properties"/>
    <ds:schemaRef ds:uri="http://schemas.microsoft.com/office/infopath/2007/PartnerControls"/>
    <ds:schemaRef ds:uri="2e1d1823-bb3c-40bc-ac4c-8ca84ca3a3ed"/>
    <ds:schemaRef ds:uri="b1cfc738-37bb-4704-a0f4-8a8ac9588d4d"/>
  </ds:schemaRefs>
</ds:datastoreItem>
</file>

<file path=customXml/itemProps2.xml><?xml version="1.0" encoding="utf-8"?>
<ds:datastoreItem xmlns:ds="http://schemas.openxmlformats.org/officeDocument/2006/customXml" ds:itemID="{0BE9C118-1E46-49F1-BCCB-F07DEAE77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fc738-37bb-4704-a0f4-8a8ac9588d4d"/>
    <ds:schemaRef ds:uri="2e1d1823-bb3c-40bc-ac4c-8ca84ca3a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3E468-3429-4327-A94B-EC735F673D63}">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1260</Words>
  <Characters>7007</Characters>
  <Application>Microsoft Office Word</Application>
  <DocSecurity>0</DocSecurity>
  <Lines>148</Lines>
  <Paragraphs>75</Paragraphs>
  <ScaleCrop>false</ScaleCrop>
  <Manager/>
  <Company/>
  <LinksUpToDate>false</LinksUpToDate>
  <CharactersWithSpaces>8248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Rey</cp:lastModifiedBy>
  <cp:revision>6</cp:revision>
  <dcterms:created xsi:type="dcterms:W3CDTF">2025-10-17T14:20:00Z</dcterms:created>
  <dcterms:modified xsi:type="dcterms:W3CDTF">2025-10-27T15:02:00Z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0x01010039F5DABB0F0DF64BBD1897D9FCA862DA</vt:lpwstr>
  </property>
  <property fmtid="{D5CDD505-2E9C-101B-9397-08002B2CF9AE}" pid="3" name="MediaServiceImageTags">
    <vt:lpwstr/>
  </property>
</Properties>
</file>